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834866" cy="6858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-2134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866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04 juin 2019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6324600</wp:posOffset>
            </wp:positionH>
            <wp:positionV relativeFrom="paragraph">
              <wp:posOffset>114300</wp:posOffset>
            </wp:positionV>
            <wp:extent cx="510160" cy="671513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160" cy="671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349.0" w:type="dxa"/>
        <w:jc w:val="left"/>
        <w:tblInd w:w="-318.0" w:type="dxa"/>
        <w:tblLayout w:type="fixed"/>
        <w:tblLook w:val="0000"/>
      </w:tblPr>
      <w:tblGrid>
        <w:gridCol w:w="11349"/>
        <w:tblGridChange w:id="0">
          <w:tblGrid>
            <w:gridCol w:w="11349"/>
          </w:tblGrid>
        </w:tblGridChange>
      </w:tblGrid>
      <w:tr>
        <w:trPr>
          <w:trHeight w:val="7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4c2f4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       Robots Bee-Bot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widowControl w:val="0"/>
        <w:rPr>
          <w:rFonts w:ascii="Arial" w:cs="Arial" w:eastAsia="Arial" w:hAnsi="Arial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41.0" w:type="dxa"/>
        <w:jc w:val="left"/>
        <w:tblInd w:w="-318.0" w:type="dxa"/>
        <w:tblLayout w:type="fixed"/>
        <w:tblLook w:val="0000"/>
      </w:tblPr>
      <w:tblGrid>
        <w:gridCol w:w="11341"/>
        <w:tblGridChange w:id="0">
          <w:tblGrid>
            <w:gridCol w:w="11341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Lieu 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rPr>
          <w:rFonts w:ascii="Arial" w:cs="Arial" w:eastAsia="Arial" w:hAnsi="Arial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40.0" w:type="dxa"/>
        <w:jc w:val="left"/>
        <w:tblInd w:w="-318.0" w:type="dxa"/>
        <w:tblLayout w:type="fixed"/>
        <w:tblLook w:val="0000"/>
      </w:tblPr>
      <w:tblGrid>
        <w:gridCol w:w="6095"/>
        <w:gridCol w:w="5245"/>
        <w:tblGridChange w:id="0">
          <w:tblGrid>
            <w:gridCol w:w="6095"/>
            <w:gridCol w:w="524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548dd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Durée 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vertAlign w:val="baseline"/>
                <w:rtl w:val="0"/>
              </w:rPr>
              <w:t xml:space="preserve"> mn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Public 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5b3d7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vertAlign w:val="baseline"/>
                <w:rtl w:val="0"/>
              </w:rPr>
              <w:t xml:space="preserve">à partir de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vertAlign w:val="baseline"/>
                <w:rtl w:val="0"/>
              </w:rPr>
              <w:t xml:space="preserve"> ans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rPr>
          <w:rFonts w:ascii="Arial" w:cs="Arial" w:eastAsia="Arial" w:hAnsi="Arial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40.0" w:type="dxa"/>
        <w:jc w:val="left"/>
        <w:tblInd w:w="-318.0" w:type="dxa"/>
        <w:tblLayout w:type="fixed"/>
        <w:tblLook w:val="0000"/>
      </w:tblPr>
      <w:tblGrid>
        <w:gridCol w:w="6095"/>
        <w:gridCol w:w="5245"/>
        <w:tblGridChange w:id="0">
          <w:tblGrid>
            <w:gridCol w:w="6095"/>
            <w:gridCol w:w="524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548dd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Public maximum conseillé 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Animateur 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nécessaire</w:t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tabs>
          <w:tab w:val="left" w:pos="1300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Objectifs : 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out rond, ludique et joyeux, le robot Bee-Bot n'est pas seulement là pour amuser la galerie : il permet aux enfants dès 3 ans de découvrir les premières bases de la robotique et des spécificités des robots : Qu'est-ce qui fait que mon robot avance tout seul ? Comment faire pour l'amener là où je le désire?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Bee-Bot est d'autant plus ludique que son fonctionnement est… enfantin !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Liste du matériel : 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 abeilles Bee-Bot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tapis d’exploration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Liste des logiciels :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Aucun logiciel nécessaire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Procédure :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pavé directionnel est intégré sur le dessus de la petite bête : flèche gauche, flèche droite, haut, bas, et un bouton OK pour valider. Il suffit que l'enfant visualise le trajet que doit faire Bee-Bot sur le tapis divisé en cases, et le programme par avance en appuyant sur les bonnes flèches. Il doit ensuite appuyer sur OK pour que Bee-Bot se mette en route et que l'enfant puisse ainsi vérifier qu'il n'a pas fait d'erreur !</w:t>
      </w:r>
    </w:p>
    <w:p w:rsidR="00000000" w:rsidDel="00000000" w:rsidP="00000000" w:rsidRDefault="00000000" w:rsidRPr="00000000" w14:paraId="0000001C">
      <w:pPr>
        <w:widowControl w:val="0"/>
        <w:tabs>
          <w:tab w:val="left" w:pos="1300"/>
        </w:tabs>
        <w:rPr>
          <w:rFonts w:ascii="Arial" w:cs="Arial" w:eastAsia="Arial" w:hAnsi="Arial"/>
          <w:color w:val="cc0066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400050</wp:posOffset>
            </wp:positionH>
            <wp:positionV relativeFrom="paragraph">
              <wp:posOffset>333375</wp:posOffset>
            </wp:positionV>
            <wp:extent cx="1706030" cy="2181225"/>
            <wp:effectExtent b="0" l="0" r="0" t="0"/>
            <wp:wrapTopAndBottom distB="114300" distT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6030" cy="2181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3962400</wp:posOffset>
            </wp:positionH>
            <wp:positionV relativeFrom="paragraph">
              <wp:posOffset>200025</wp:posOffset>
            </wp:positionV>
            <wp:extent cx="2362200" cy="2183921"/>
            <wp:effectExtent b="0" l="0" r="0" t="0"/>
            <wp:wrapTopAndBottom distB="114300" distT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839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10" w:type="default"/>
      <w:pgSz w:h="16838" w:w="11906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Direction de la Lecture Publique de Loir-et-Cher - Creative Commons CC BY NC  </w:t>
      <w:tab/>
      <w:tab/>
      <w:tab/>
      <w:tab/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/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